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sz w:val="22"/>
          <w:szCs w:val="22"/>
        </w:rPr>
        <w:t>ело № 5-</w:t>
      </w:r>
      <w:r>
        <w:rPr>
          <w:rFonts w:ascii="Times New Roman" w:eastAsia="Times New Roman" w:hAnsi="Times New Roman" w:cs="Times New Roman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 Нефтеюганск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628309, ХМАО-Югра, г. Нефтеюганск, 1 мкр-н, дом 30</w:t>
      </w:r>
      <w:r>
        <w:rPr>
          <w:rFonts w:ascii="Times New Roman" w:eastAsia="Times New Roman" w:hAnsi="Times New Roman" w:cs="Times New Roman"/>
          <w:sz w:val="26"/>
          <w:szCs w:val="26"/>
        </w:rPr>
        <w:t>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Зырянова Олега Егоровича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45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38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работающего председателем </w:t>
      </w:r>
      <w:r>
        <w:rPr>
          <w:rFonts w:ascii="Times New Roman" w:eastAsia="Times New Roman" w:hAnsi="Times New Roman" w:cs="Times New Roman"/>
          <w:sz w:val="26"/>
          <w:szCs w:val="26"/>
        </w:rPr>
        <w:t>ЖСК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Новострой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зарегистрированного и проживающего по адресу: </w:t>
      </w:r>
      <w:r>
        <w:rPr>
          <w:rStyle w:val="cat-UserDefinedgrp-48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39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47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6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 С Т А Н О В И 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Зырянов О.В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являясь председателем </w:t>
      </w:r>
      <w:r>
        <w:rPr>
          <w:rFonts w:ascii="Times New Roman" w:eastAsia="Times New Roman" w:hAnsi="Times New Roman" w:cs="Times New Roman"/>
          <w:sz w:val="26"/>
          <w:szCs w:val="26"/>
        </w:rPr>
        <w:t>ЖСК «Новострой</w:t>
      </w:r>
      <w:r>
        <w:rPr>
          <w:rFonts w:ascii="Times New Roman" w:eastAsia="Times New Roman" w:hAnsi="Times New Roman" w:cs="Times New Roman"/>
          <w:sz w:val="26"/>
          <w:szCs w:val="26"/>
        </w:rPr>
        <w:t>», зарегистрированного по адресу: ХМАО-Югра, г. Нефтеюганск, 11 мкр.,</w:t>
      </w:r>
      <w:r>
        <w:rPr>
          <w:rFonts w:ascii="Times New Roman" w:eastAsia="Times New Roman" w:hAnsi="Times New Roman" w:cs="Times New Roman"/>
          <w:sz w:val="26"/>
          <w:szCs w:val="26"/>
        </w:rPr>
        <w:t>д. 47, кв. 25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п. 7 ст. 431 НК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РФ, до </w:t>
      </w:r>
      <w:r>
        <w:rPr>
          <w:rFonts w:ascii="Times New Roman" w:eastAsia="Times New Roman" w:hAnsi="Times New Roman" w:cs="Times New Roman"/>
          <w:sz w:val="26"/>
          <w:szCs w:val="26"/>
        </w:rPr>
        <w:t>26.01.2023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срок в налоговый орган по месту учета – межрайонную ИФНС России №7 по Ханты-Мансийскому автономному округу – Югре, налоговый расчет по страховым взносам за </w:t>
      </w:r>
      <w:r>
        <w:rPr>
          <w:rFonts w:ascii="Times New Roman" w:eastAsia="Times New Roman" w:hAnsi="Times New Roman" w:cs="Times New Roman"/>
          <w:sz w:val="26"/>
          <w:szCs w:val="26"/>
        </w:rPr>
        <w:t>12 месяцев, квартальный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2022 года. Срок представления налогового расчета по страховым взносам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12 месяцев, квартальный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2022 года – не позднее 24:00 часов </w:t>
      </w:r>
      <w:r>
        <w:rPr>
          <w:rFonts w:ascii="Times New Roman" w:eastAsia="Times New Roman" w:hAnsi="Times New Roman" w:cs="Times New Roman"/>
          <w:sz w:val="26"/>
          <w:szCs w:val="26"/>
        </w:rPr>
        <w:t>25.01.2023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фактически налоговый расчет по страховым взносам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12 месяцев, квартальный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2022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представлен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6"/>
          <w:szCs w:val="26"/>
        </w:rPr>
        <w:t>Зырянов О.В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извещенный надлежащим образом о времени и месте рассмотрения административного материала, не явился, о причинах неявки суд не уведомил, ходатайств об отложении дела от него не поступало. 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Зырянова О.В</w:t>
      </w:r>
      <w:r>
        <w:rPr>
          <w:rFonts w:ascii="Times New Roman" w:eastAsia="Times New Roman" w:hAnsi="Times New Roman" w:cs="Times New Roman"/>
          <w:sz w:val="26"/>
          <w:szCs w:val="26"/>
        </w:rPr>
        <w:t>. в его отсутствие.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Зырянова О.В</w:t>
      </w:r>
      <w:r>
        <w:rPr>
          <w:rFonts w:ascii="Times New Roman" w:eastAsia="Times New Roman" w:hAnsi="Times New Roman" w:cs="Times New Roman"/>
          <w:sz w:val="26"/>
          <w:szCs w:val="26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49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11.10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председател</w:t>
      </w:r>
      <w:r>
        <w:rPr>
          <w:rFonts w:ascii="Times New Roman" w:eastAsia="Times New Roman" w:hAnsi="Times New Roman" w:cs="Times New Roman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Зырянов О.В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срок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налоговый орган по месту учета – межрайонную ИФНС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России №7 по Ханты-Мансийскому автономному округу – Югре, налоговый расчет по страховым взносам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12 месяцев, квартальный </w:t>
      </w:r>
      <w:r>
        <w:rPr>
          <w:rFonts w:ascii="Times New Roman" w:eastAsia="Times New Roman" w:hAnsi="Times New Roman" w:cs="Times New Roman"/>
          <w:sz w:val="26"/>
          <w:szCs w:val="26"/>
        </w:rPr>
        <w:t>2022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 списком внутренних почтовых отправлений о направлении копии протокола об административном правонарушении;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уведомлением о времени и месте составления протокола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.09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списком внутренних почтовых отправлений о направлении уведомления о времени и месте составления протокола; отчетом об отслеживании отправления с почтовым идентификатором;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сведениями об отчетности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выпиской из Единого государст</w:t>
      </w:r>
      <w:r>
        <w:rPr>
          <w:rFonts w:ascii="Times New Roman" w:eastAsia="Times New Roman" w:hAnsi="Times New Roman" w:cs="Times New Roman"/>
          <w:sz w:val="26"/>
          <w:szCs w:val="26"/>
        </w:rPr>
        <w:t>венного реестра юридических лиц.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подп. 4 п. 3 ст. 24 Налогового кодекса РФ, 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Согласно подп. 3 п. 3.4 ст.23 Налогового кодекса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плательщики страховых взносов обязаны представлять в установленном порядке в налоговый орган по месту учета расчеты по страховым взносам.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 1 ст. 419 Налогового кодекса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 7 ст. 431 Налогового кодекса РФ плательщики, указанные в п.п. 1 п. 1 ст. 419 настоящего Кодекса (за исключением физических лиц, производящих выплаты, указанные в п.п. 3 п. 3 ст. 422НК РФ), представляют расчет по страховым взносам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Согласно ст. 423 Налогового кодекса РФ, расчетным периодом признается календарный год; отчетными периодами признаются первый квартал, полугодие, девять месяцев календарного года.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Пунктом 7 статьи 3 Федерального закона от 06.12.2011 г. № 402-ФЗ «О бухгалтерском учете», определено, что руководитель экономического субъекта - лицо, являющееся единоличным исполнительным органом экономического субъекта, либо лицо, ответственное за ведение дел экономического субъекта, либо управляющий, которому переданы функции единоличного исполнительного органа.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Согласно ч. 1 ст. 7 Федерального закона от 06.12.2011 года № 402-ФЗ «О бухгалтерском учете», ведение бухгалтерского учета и хранение документов бухгалтерского учёта организуется руководителем экономического субъекта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Зырянова О.В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ст. 15.5 Кодекса Российской Федерации об административных правонарушениях, как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судья учитывает характер совершенного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Зырянова О.В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 в соответствии со ст.ст. 4.2, 4.3 Кодекса Российской Федерации об административных правонарушениях, мировой судья не находит.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установленные обстоятельства, мировой судья считает возможным назначить правонарушителю наказание в виде предупреждения. 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 учётом изложенного, руководствуясь ст.ст. 29.9 ч.1, 29.10, 30.1 Кодекса Российской Федерации об административных правонарушениях, мировой судья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председателя </w:t>
      </w:r>
      <w:r>
        <w:rPr>
          <w:rFonts w:ascii="Times New Roman" w:eastAsia="Times New Roman" w:hAnsi="Times New Roman" w:cs="Times New Roman"/>
          <w:sz w:val="26"/>
          <w:szCs w:val="26"/>
        </w:rPr>
        <w:t>ЖСК «Новострой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Зырянова Олега Егоровича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ему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предупреждения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tabs>
          <w:tab w:val="left" w:pos="6390"/>
        </w:tabs>
        <w:spacing w:before="0" w:after="0"/>
        <w:ind w:left="283" w:hanging="283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ind w:left="283" w:hanging="283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426"/>
          <w:tab w:val="left" w:pos="709"/>
          <w:tab w:val="left" w:pos="851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426"/>
          <w:tab w:val="left" w:pos="993"/>
          <w:tab w:val="left" w:pos="1276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567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567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567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20813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97"/>
        <w:gridCol w:w="5547"/>
        <w:gridCol w:w="4820"/>
        <w:gridCol w:w="5649"/>
      </w:tblGrid>
      <w:tr>
        <w:tblPrEx>
          <w:tblW w:w="20813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9"/>
        </w:trPr>
        <w:tc>
          <w:tcPr>
            <w:tcW w:w="478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562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ind w:left="21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ind w:left="263" w:hanging="263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  <w:tc>
          <w:tcPr>
            <w:tcW w:w="567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</w:tr>
    </w:tbl>
    <w:p>
      <w:pPr>
        <w:spacing w:before="0" w:after="0"/>
        <w:ind w:left="567" w:hanging="283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45rplc-6">
    <w:name w:val="cat-ExternalSystemDefined grp-45 rplc-6"/>
    <w:basedOn w:val="DefaultParagraphFont"/>
  </w:style>
  <w:style w:type="character" w:customStyle="1" w:styleId="cat-PassportDatagrp-38rplc-7">
    <w:name w:val="cat-PassportData grp-38 rplc-7"/>
    <w:basedOn w:val="DefaultParagraphFont"/>
  </w:style>
  <w:style w:type="character" w:customStyle="1" w:styleId="cat-UserDefinedgrp-48rplc-8">
    <w:name w:val="cat-UserDefined grp-48 rplc-8"/>
    <w:basedOn w:val="DefaultParagraphFont"/>
  </w:style>
  <w:style w:type="character" w:customStyle="1" w:styleId="cat-PassportDatagrp-39rplc-10">
    <w:name w:val="cat-PassportData grp-39 rplc-10"/>
    <w:basedOn w:val="DefaultParagraphFont"/>
  </w:style>
  <w:style w:type="character" w:customStyle="1" w:styleId="cat-ExternalSystemDefinedgrp-47rplc-11">
    <w:name w:val="cat-ExternalSystemDefined grp-47 rplc-11"/>
    <w:basedOn w:val="DefaultParagraphFont"/>
  </w:style>
  <w:style w:type="character" w:customStyle="1" w:styleId="cat-ExternalSystemDefinedgrp-46rplc-12">
    <w:name w:val="cat-ExternalSystemDefined grp-46 rplc-12"/>
    <w:basedOn w:val="DefaultParagraphFont"/>
  </w:style>
  <w:style w:type="character" w:customStyle="1" w:styleId="cat-UserDefinedgrp-49rplc-26">
    <w:name w:val="cat-UserDefined grp-49 rplc-26"/>
    <w:basedOn w:val="DefaultParagraphFont"/>
  </w:style>
  <w:style w:type="character" w:customStyle="1" w:styleId="cat-UserDefinedgrp-50rplc-40">
    <w:name w:val="cat-UserDefined grp-50 rplc-40"/>
    <w:basedOn w:val="DefaultParagraphFont"/>
  </w:style>
  <w:style w:type="character" w:customStyle="1" w:styleId="cat-UserDefinedgrp-51rplc-43">
    <w:name w:val="cat-UserDefined grp-51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